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841" w:rsidRDefault="001C1841">
      <w:bookmarkStart w:id="0" w:name="_GoBack"/>
      <w:bookmarkEnd w:id="0"/>
      <w:r>
        <w:t xml:space="preserve">Free Cash Flows = EBIT * (1-tax rate) + Depreciation &amp; </w:t>
      </w:r>
      <w:proofErr w:type="spellStart"/>
      <w:r>
        <w:t>Armortization</w:t>
      </w:r>
      <w:proofErr w:type="spellEnd"/>
      <w:r>
        <w:t xml:space="preserve"> – Changes in Working Capital = Capital expenditure.</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156"/>
        <w:gridCol w:w="6188"/>
      </w:tblGrid>
      <w:tr w:rsidR="001C1841" w:rsidRPr="001C1841" w:rsidTr="001C18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after="0" w:line="396" w:lineRule="atLeast"/>
              <w:rPr>
                <w:rFonts w:ascii="Helvetica" w:eastAsia="Times New Roman" w:hAnsi="Helvetica" w:cs="Helvetica"/>
                <w:color w:val="252525"/>
                <w:sz w:val="24"/>
                <w:szCs w:val="24"/>
              </w:rPr>
            </w:pPr>
            <w:hyperlink r:id="rId5" w:tooltip="Earnings before interest and taxes" w:history="1">
              <w:r w:rsidRPr="001C1841">
                <w:rPr>
                  <w:rFonts w:ascii="inherit" w:eastAsia="Times New Roman" w:hAnsi="inherit" w:cs="Helvetica"/>
                  <w:color w:val="5A3696"/>
                  <w:sz w:val="24"/>
                  <w:szCs w:val="24"/>
                  <w:bdr w:val="none" w:sz="0" w:space="0" w:color="auto" w:frame="1"/>
                </w:rPr>
                <w:t>EBIT</w:t>
              </w:r>
            </w:hyperlink>
            <w:r w:rsidRPr="001C1841">
              <w:rPr>
                <w:rFonts w:ascii="Helvetica" w:eastAsia="Times New Roman" w:hAnsi="Helvetica" w:cs="Helvetica"/>
                <w:color w:val="252525"/>
                <w:sz w:val="24"/>
                <w:szCs w:val="24"/>
              </w:rPr>
              <w:t> x (1-</w:t>
            </w:r>
            <w:hyperlink r:id="rId6" w:tooltip="Tax rate" w:history="1">
              <w:r w:rsidRPr="001C1841">
                <w:rPr>
                  <w:rFonts w:ascii="inherit" w:eastAsia="Times New Roman" w:hAnsi="inherit" w:cs="Helvetica"/>
                  <w:color w:val="5A3696"/>
                  <w:sz w:val="24"/>
                  <w:szCs w:val="24"/>
                  <w:bdr w:val="none" w:sz="0" w:space="0" w:color="auto" w:frame="1"/>
                </w:rPr>
                <w:t>Tax rate</w:t>
              </w:r>
            </w:hyperlink>
            <w:r w:rsidRPr="001C1841">
              <w:rPr>
                <w:rFonts w:ascii="Helvetica" w:eastAsia="Times New Roman" w:hAnsi="Helvetica" w:cs="Helvetica"/>
                <w:color w:val="252525"/>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after="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Current Income Statement</w:t>
            </w:r>
          </w:p>
        </w:tc>
      </w:tr>
      <w:tr w:rsidR="001C1841" w:rsidRPr="001C1841" w:rsidTr="001C18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after="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 </w:t>
            </w:r>
            <w:hyperlink r:id="rId7" w:tooltip="Depreciation" w:history="1">
              <w:r w:rsidRPr="001C1841">
                <w:rPr>
                  <w:rFonts w:ascii="inherit" w:eastAsia="Times New Roman" w:hAnsi="inherit" w:cs="Helvetica"/>
                  <w:color w:val="5A3696"/>
                  <w:sz w:val="24"/>
                  <w:szCs w:val="24"/>
                  <w:bdr w:val="none" w:sz="0" w:space="0" w:color="auto" w:frame="1"/>
                </w:rPr>
                <w:t>Depreciation</w:t>
              </w:r>
            </w:hyperlink>
            <w:r w:rsidRPr="001C1841">
              <w:rPr>
                <w:rFonts w:ascii="Helvetica" w:eastAsia="Times New Roman" w:hAnsi="Helvetica" w:cs="Helvetica"/>
                <w:color w:val="252525"/>
                <w:sz w:val="24"/>
                <w:szCs w:val="24"/>
              </w:rPr>
              <w:t> &amp; </w:t>
            </w:r>
            <w:hyperlink r:id="rId8" w:tooltip="Amortization (business)" w:history="1">
              <w:r w:rsidRPr="001C1841">
                <w:rPr>
                  <w:rFonts w:ascii="inherit" w:eastAsia="Times New Roman" w:hAnsi="inherit" w:cs="Helvetica"/>
                  <w:color w:val="5A3696"/>
                  <w:sz w:val="24"/>
                  <w:szCs w:val="24"/>
                  <w:bdr w:val="none" w:sz="0" w:space="0" w:color="auto" w:frame="1"/>
                </w:rPr>
                <w:t>Amortization</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after="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Current Income Statement</w:t>
            </w:r>
          </w:p>
        </w:tc>
      </w:tr>
      <w:tr w:rsidR="001C1841" w:rsidRPr="001C1841" w:rsidTr="001C18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after="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 Changes in </w:t>
            </w:r>
            <w:hyperlink r:id="rId9" w:tooltip="Working Capital" w:history="1">
              <w:r w:rsidRPr="001C1841">
                <w:rPr>
                  <w:rFonts w:ascii="inherit" w:eastAsia="Times New Roman" w:hAnsi="inherit" w:cs="Helvetica"/>
                  <w:color w:val="5A3696"/>
                  <w:sz w:val="24"/>
                  <w:szCs w:val="24"/>
                  <w:bdr w:val="none" w:sz="0" w:space="0" w:color="auto" w:frame="1"/>
                </w:rPr>
                <w:t>Working Capital</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after="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Prior &amp; Current Balance Sheets: Current Assets and Liability accounts</w:t>
            </w:r>
          </w:p>
        </w:tc>
      </w:tr>
      <w:tr w:rsidR="001C1841" w:rsidRPr="001C1841" w:rsidTr="001C18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after="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 </w:t>
            </w:r>
            <w:hyperlink r:id="rId10" w:tooltip="Capital expenditure" w:history="1">
              <w:r w:rsidRPr="001C1841">
                <w:rPr>
                  <w:rFonts w:ascii="inherit" w:eastAsia="Times New Roman" w:hAnsi="inherit" w:cs="Helvetica"/>
                  <w:color w:val="5A3696"/>
                  <w:sz w:val="24"/>
                  <w:szCs w:val="24"/>
                  <w:bdr w:val="none" w:sz="0" w:space="0" w:color="auto" w:frame="1"/>
                </w:rPr>
                <w:t>Capital expenditure</w:t>
              </w:r>
            </w:hyperlink>
            <w:r w:rsidRPr="001C1841">
              <w:rPr>
                <w:rFonts w:ascii="Helvetica" w:eastAsia="Times New Roman" w:hAnsi="Helvetica" w:cs="Helvetica"/>
                <w:color w:val="252525"/>
                <w:sz w:val="24"/>
                <w:szCs w:val="24"/>
              </w:rPr>
              <w:t> (CAPEX)</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after="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Prior &amp; Current Balance Sheets: Property, Plant and Equipment accounts</w:t>
            </w:r>
          </w:p>
        </w:tc>
      </w:tr>
    </w:tbl>
    <w:p w:rsidR="001C1841" w:rsidRDefault="001C1841"/>
    <w:p w:rsidR="001C1841" w:rsidRPr="001C1841" w:rsidRDefault="001C1841" w:rsidP="001C1841">
      <w:pPr>
        <w:shd w:val="clear" w:color="auto" w:fill="FFFFFF"/>
        <w:spacing w:before="120" w:after="240" w:line="396" w:lineRule="atLeast"/>
        <w:textAlignment w:val="baseline"/>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When net profit and tax rate applicable are given, you can also calculate it by taking:</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262"/>
        <w:gridCol w:w="6082"/>
      </w:tblGrid>
      <w:tr w:rsidR="001C1841" w:rsidRPr="001C1841" w:rsidTr="001C1841">
        <w:tc>
          <w:tcPr>
            <w:tcW w:w="0" w:type="auto"/>
            <w:tcBorders>
              <w:top w:val="single" w:sz="6" w:space="0" w:color="CCCCCC"/>
              <w:left w:val="single" w:sz="6" w:space="0" w:color="CCCCCC"/>
              <w:bottom w:val="single" w:sz="6" w:space="0" w:color="CCCCCC"/>
              <w:right w:val="single" w:sz="6" w:space="0" w:color="CCCCCC"/>
            </w:tcBorders>
            <w:shd w:val="clear" w:color="auto" w:fill="EEEEEE"/>
            <w:tcMar>
              <w:top w:w="48" w:type="dxa"/>
              <w:left w:w="48" w:type="dxa"/>
              <w:bottom w:w="48" w:type="dxa"/>
              <w:right w:w="48" w:type="dxa"/>
            </w:tcMar>
            <w:vAlign w:val="center"/>
            <w:hideMark/>
          </w:tcPr>
          <w:p w:rsidR="001C1841" w:rsidRPr="001C1841" w:rsidRDefault="001C1841" w:rsidP="001C1841">
            <w:pPr>
              <w:spacing w:before="240" w:after="240" w:line="396" w:lineRule="atLeast"/>
              <w:jc w:val="center"/>
              <w:rPr>
                <w:rFonts w:ascii="Helvetica" w:eastAsia="Times New Roman" w:hAnsi="Helvetica" w:cs="Helvetica"/>
                <w:b/>
                <w:bCs/>
                <w:color w:val="252525"/>
                <w:sz w:val="24"/>
                <w:szCs w:val="24"/>
              </w:rPr>
            </w:pPr>
            <w:r w:rsidRPr="001C1841">
              <w:rPr>
                <w:rFonts w:ascii="Helvetica" w:eastAsia="Times New Roman" w:hAnsi="Helvetica" w:cs="Helvetica"/>
                <w:b/>
                <w:bCs/>
                <w:color w:val="252525"/>
                <w:sz w:val="24"/>
                <w:szCs w:val="24"/>
              </w:rPr>
              <w:t>Element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48" w:type="dxa"/>
              <w:left w:w="48" w:type="dxa"/>
              <w:bottom w:w="48" w:type="dxa"/>
              <w:right w:w="48" w:type="dxa"/>
            </w:tcMar>
            <w:vAlign w:val="center"/>
            <w:hideMark/>
          </w:tcPr>
          <w:p w:rsidR="001C1841" w:rsidRPr="001C1841" w:rsidRDefault="001C1841" w:rsidP="001C1841">
            <w:pPr>
              <w:spacing w:before="240" w:after="240" w:line="396" w:lineRule="atLeast"/>
              <w:jc w:val="center"/>
              <w:rPr>
                <w:rFonts w:ascii="Helvetica" w:eastAsia="Times New Roman" w:hAnsi="Helvetica" w:cs="Helvetica"/>
                <w:b/>
                <w:bCs/>
                <w:color w:val="252525"/>
                <w:sz w:val="24"/>
                <w:szCs w:val="24"/>
              </w:rPr>
            </w:pPr>
            <w:r w:rsidRPr="001C1841">
              <w:rPr>
                <w:rFonts w:ascii="Helvetica" w:eastAsia="Times New Roman" w:hAnsi="Helvetica" w:cs="Helvetica"/>
                <w:b/>
                <w:bCs/>
                <w:color w:val="252525"/>
                <w:sz w:val="24"/>
                <w:szCs w:val="24"/>
              </w:rPr>
              <w:t>Source</w:t>
            </w:r>
          </w:p>
        </w:tc>
      </w:tr>
      <w:tr w:rsidR="001C1841" w:rsidRPr="001C1841" w:rsidTr="001C18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before="240" w:after="24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Net Profit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before="240" w:after="24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Current Income Statement</w:t>
            </w:r>
          </w:p>
        </w:tc>
      </w:tr>
      <w:tr w:rsidR="001C1841" w:rsidRPr="001C1841" w:rsidTr="001C18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after="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 </w:t>
            </w:r>
            <w:hyperlink r:id="rId11" w:tooltip="Interest expense" w:history="1">
              <w:r w:rsidRPr="001C1841">
                <w:rPr>
                  <w:rFonts w:ascii="inherit" w:eastAsia="Times New Roman" w:hAnsi="inherit" w:cs="Helvetica"/>
                  <w:color w:val="5A3696"/>
                  <w:sz w:val="24"/>
                  <w:szCs w:val="24"/>
                  <w:bdr w:val="none" w:sz="0" w:space="0" w:color="auto" w:frame="1"/>
                </w:rPr>
                <w:t>Interest expense</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after="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Current Income Statement</w:t>
            </w:r>
          </w:p>
        </w:tc>
      </w:tr>
      <w:tr w:rsidR="001C1841" w:rsidRPr="001C1841" w:rsidTr="001C18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after="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 Net Capital Expenditure (CAPEX)</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after="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Current Income Statement</w:t>
            </w:r>
          </w:p>
        </w:tc>
      </w:tr>
      <w:tr w:rsidR="001C1841" w:rsidRPr="001C1841" w:rsidTr="001C18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after="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 Net changes in </w:t>
            </w:r>
            <w:hyperlink r:id="rId12" w:tooltip="Working Capital" w:history="1">
              <w:r w:rsidRPr="001C1841">
                <w:rPr>
                  <w:rFonts w:ascii="inherit" w:eastAsia="Times New Roman" w:hAnsi="inherit" w:cs="Helvetica"/>
                  <w:color w:val="5A3696"/>
                  <w:sz w:val="24"/>
                  <w:szCs w:val="24"/>
                  <w:bdr w:val="none" w:sz="0" w:space="0" w:color="auto" w:frame="1"/>
                </w:rPr>
                <w:t>Working Capital</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after="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Prior &amp; Current Balance Sheets: Current Assets and Liability accounts</w:t>
            </w:r>
          </w:p>
        </w:tc>
      </w:tr>
      <w:tr w:rsidR="001C1841" w:rsidRPr="001C1841" w:rsidTr="001C18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after="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 </w:t>
            </w:r>
            <w:hyperlink r:id="rId13" w:tooltip="Tax shield" w:history="1">
              <w:r w:rsidRPr="001C1841">
                <w:rPr>
                  <w:rFonts w:ascii="inherit" w:eastAsia="Times New Roman" w:hAnsi="inherit" w:cs="Helvetica"/>
                  <w:color w:val="5A3696"/>
                  <w:sz w:val="24"/>
                  <w:szCs w:val="24"/>
                  <w:bdr w:val="none" w:sz="0" w:space="0" w:color="auto" w:frame="1"/>
                </w:rPr>
                <w:t>Tax shield</w:t>
              </w:r>
            </w:hyperlink>
            <w:r w:rsidRPr="001C1841">
              <w:rPr>
                <w:rFonts w:ascii="Helvetica" w:eastAsia="Times New Roman" w:hAnsi="Helvetica" w:cs="Helvetica"/>
                <w:color w:val="252525"/>
                <w:sz w:val="24"/>
                <w:szCs w:val="24"/>
              </w:rPr>
              <w:t> on Interest Expense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after="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Current Income Statement</w:t>
            </w:r>
          </w:p>
        </w:tc>
      </w:tr>
      <w:tr w:rsidR="001C1841" w:rsidRPr="001C1841" w:rsidTr="001C18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after="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 </w:t>
            </w:r>
            <w:r w:rsidRPr="001C1841">
              <w:rPr>
                <w:rFonts w:ascii="inherit" w:eastAsia="Times New Roman" w:hAnsi="inherit" w:cs="Helvetica"/>
                <w:b/>
                <w:bCs/>
                <w:color w:val="252525"/>
                <w:sz w:val="24"/>
                <w:szCs w:val="24"/>
                <w:bdr w:val="none" w:sz="0" w:space="0" w:color="auto" w:frame="1"/>
              </w:rPr>
              <w:t>Free Cash Flow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after="0" w:line="396" w:lineRule="atLeast"/>
              <w:rPr>
                <w:rFonts w:ascii="Helvetica" w:eastAsia="Times New Roman" w:hAnsi="Helvetica" w:cs="Helvetica"/>
                <w:color w:val="252525"/>
                <w:sz w:val="24"/>
                <w:szCs w:val="24"/>
              </w:rPr>
            </w:pPr>
          </w:p>
        </w:tc>
      </w:tr>
    </w:tbl>
    <w:p w:rsidR="001C1841" w:rsidRDefault="001C1841"/>
    <w:p w:rsidR="001C1841" w:rsidRDefault="001C1841"/>
    <w:p w:rsidR="001C1841" w:rsidRDefault="001C1841"/>
    <w:p w:rsidR="001C1841" w:rsidRDefault="001C1841"/>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69"/>
        <w:gridCol w:w="5202"/>
      </w:tblGrid>
      <w:tr w:rsidR="001C1841" w:rsidRPr="001C1841" w:rsidTr="001C1841">
        <w:tc>
          <w:tcPr>
            <w:tcW w:w="0" w:type="auto"/>
            <w:tcBorders>
              <w:top w:val="single" w:sz="6" w:space="0" w:color="CCCCCC"/>
              <w:left w:val="single" w:sz="6" w:space="0" w:color="CCCCCC"/>
              <w:bottom w:val="single" w:sz="6" w:space="0" w:color="CCCCCC"/>
              <w:right w:val="single" w:sz="6" w:space="0" w:color="CCCCCC"/>
            </w:tcBorders>
            <w:shd w:val="clear" w:color="auto" w:fill="EEEEEE"/>
            <w:tcMar>
              <w:top w:w="48" w:type="dxa"/>
              <w:left w:w="48" w:type="dxa"/>
              <w:bottom w:w="48" w:type="dxa"/>
              <w:right w:w="48" w:type="dxa"/>
            </w:tcMar>
            <w:vAlign w:val="center"/>
            <w:hideMark/>
          </w:tcPr>
          <w:p w:rsidR="001C1841" w:rsidRPr="001C1841" w:rsidRDefault="001C1841" w:rsidP="001C1841">
            <w:pPr>
              <w:spacing w:before="240" w:after="240" w:line="240" w:lineRule="auto"/>
              <w:jc w:val="center"/>
              <w:rPr>
                <w:rFonts w:ascii="Times New Roman" w:eastAsia="Times New Roman" w:hAnsi="Times New Roman" w:cs="Times New Roman"/>
                <w:b/>
                <w:bCs/>
                <w:sz w:val="24"/>
                <w:szCs w:val="24"/>
              </w:rPr>
            </w:pPr>
            <w:r w:rsidRPr="001C1841">
              <w:rPr>
                <w:rFonts w:ascii="Times New Roman" w:eastAsia="Times New Roman" w:hAnsi="Times New Roman" w:cs="Times New Roman"/>
                <w:b/>
                <w:bCs/>
                <w:sz w:val="24"/>
                <w:szCs w:val="24"/>
              </w:rPr>
              <w:lastRenderedPageBreak/>
              <w:t>Element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48" w:type="dxa"/>
              <w:left w:w="48" w:type="dxa"/>
              <w:bottom w:w="48" w:type="dxa"/>
              <w:right w:w="48" w:type="dxa"/>
            </w:tcMar>
            <w:vAlign w:val="center"/>
            <w:hideMark/>
          </w:tcPr>
          <w:p w:rsidR="001C1841" w:rsidRPr="001C1841" w:rsidRDefault="001C1841" w:rsidP="001C1841">
            <w:pPr>
              <w:spacing w:before="240" w:after="240" w:line="240" w:lineRule="auto"/>
              <w:jc w:val="center"/>
              <w:rPr>
                <w:rFonts w:ascii="Times New Roman" w:eastAsia="Times New Roman" w:hAnsi="Times New Roman" w:cs="Times New Roman"/>
                <w:b/>
                <w:bCs/>
                <w:sz w:val="24"/>
                <w:szCs w:val="24"/>
              </w:rPr>
            </w:pPr>
            <w:r w:rsidRPr="001C1841">
              <w:rPr>
                <w:rFonts w:ascii="Times New Roman" w:eastAsia="Times New Roman" w:hAnsi="Times New Roman" w:cs="Times New Roman"/>
                <w:b/>
                <w:bCs/>
                <w:sz w:val="24"/>
                <w:szCs w:val="24"/>
              </w:rPr>
              <w:t>Data Source</w:t>
            </w:r>
          </w:p>
        </w:tc>
      </w:tr>
      <w:tr w:rsidR="001C1841" w:rsidRPr="001C1841" w:rsidTr="001C1841">
        <w:tc>
          <w:tcPr>
            <w:tcW w:w="0" w:type="auto"/>
            <w:tcBorders>
              <w:top w:val="single" w:sz="6" w:space="0" w:color="CCCCCC"/>
              <w:left w:val="single" w:sz="6" w:space="0" w:color="CCCCCC"/>
              <w:bottom w:val="single" w:sz="6" w:space="0" w:color="CCCCCC"/>
              <w:right w:val="single" w:sz="6" w:space="0" w:color="CCCCCC"/>
            </w:tcBorders>
            <w:tcMar>
              <w:top w:w="48" w:type="dxa"/>
              <w:left w:w="48" w:type="dxa"/>
              <w:bottom w:w="48" w:type="dxa"/>
              <w:right w:w="48" w:type="dxa"/>
            </w:tcMar>
            <w:vAlign w:val="center"/>
            <w:hideMark/>
          </w:tcPr>
          <w:p w:rsidR="001C1841" w:rsidRPr="001C1841" w:rsidRDefault="001C1841" w:rsidP="001C1841">
            <w:pPr>
              <w:spacing w:before="240" w:after="240" w:line="240" w:lineRule="auto"/>
              <w:rPr>
                <w:rFonts w:ascii="Times New Roman" w:eastAsia="Times New Roman" w:hAnsi="Times New Roman" w:cs="Times New Roman"/>
                <w:sz w:val="24"/>
                <w:szCs w:val="24"/>
              </w:rPr>
            </w:pPr>
            <w:r w:rsidRPr="001C1841">
              <w:rPr>
                <w:rFonts w:ascii="Times New Roman" w:eastAsia="Times New Roman" w:hAnsi="Times New Roman" w:cs="Times New Roman"/>
                <w:sz w:val="24"/>
                <w:szCs w:val="24"/>
              </w:rPr>
              <w:t>Cash Flows from Operations</w:t>
            </w:r>
          </w:p>
        </w:tc>
        <w:tc>
          <w:tcPr>
            <w:tcW w:w="0" w:type="auto"/>
            <w:tcBorders>
              <w:top w:val="single" w:sz="6" w:space="0" w:color="CCCCCC"/>
              <w:left w:val="single" w:sz="6" w:space="0" w:color="CCCCCC"/>
              <w:bottom w:val="single" w:sz="6" w:space="0" w:color="CCCCCC"/>
              <w:right w:val="single" w:sz="6" w:space="0" w:color="CCCCCC"/>
            </w:tcBorders>
            <w:tcMar>
              <w:top w:w="48" w:type="dxa"/>
              <w:left w:w="48" w:type="dxa"/>
              <w:bottom w:w="48" w:type="dxa"/>
              <w:right w:w="48" w:type="dxa"/>
            </w:tcMar>
            <w:vAlign w:val="center"/>
            <w:hideMark/>
          </w:tcPr>
          <w:p w:rsidR="001C1841" w:rsidRPr="001C1841" w:rsidRDefault="001C1841" w:rsidP="001C1841">
            <w:pPr>
              <w:spacing w:before="240" w:after="240" w:line="240" w:lineRule="auto"/>
              <w:rPr>
                <w:rFonts w:ascii="Times New Roman" w:eastAsia="Times New Roman" w:hAnsi="Times New Roman" w:cs="Times New Roman"/>
                <w:sz w:val="24"/>
                <w:szCs w:val="24"/>
              </w:rPr>
            </w:pPr>
            <w:r w:rsidRPr="001C1841">
              <w:rPr>
                <w:rFonts w:ascii="Times New Roman" w:eastAsia="Times New Roman" w:hAnsi="Times New Roman" w:cs="Times New Roman"/>
                <w:sz w:val="24"/>
                <w:szCs w:val="24"/>
              </w:rPr>
              <w:t>Statement of Cash Flows: section 1, from Operations</w:t>
            </w:r>
          </w:p>
        </w:tc>
      </w:tr>
      <w:tr w:rsidR="001C1841" w:rsidRPr="001C1841" w:rsidTr="001C1841">
        <w:tc>
          <w:tcPr>
            <w:tcW w:w="0" w:type="auto"/>
            <w:tcBorders>
              <w:top w:val="single" w:sz="6" w:space="0" w:color="CCCCCC"/>
              <w:left w:val="single" w:sz="6" w:space="0" w:color="CCCCCC"/>
              <w:bottom w:val="single" w:sz="6" w:space="0" w:color="CCCCCC"/>
              <w:right w:val="single" w:sz="6" w:space="0" w:color="CCCCCC"/>
            </w:tcBorders>
            <w:tcMar>
              <w:top w:w="48" w:type="dxa"/>
              <w:left w:w="48" w:type="dxa"/>
              <w:bottom w:w="48" w:type="dxa"/>
              <w:right w:w="48" w:type="dxa"/>
            </w:tcMar>
            <w:vAlign w:val="center"/>
            <w:hideMark/>
          </w:tcPr>
          <w:p w:rsidR="001C1841" w:rsidRPr="001C1841" w:rsidRDefault="001C1841" w:rsidP="001C1841">
            <w:pPr>
              <w:spacing w:before="240" w:after="240" w:line="240" w:lineRule="auto"/>
              <w:rPr>
                <w:rFonts w:ascii="Times New Roman" w:eastAsia="Times New Roman" w:hAnsi="Times New Roman" w:cs="Times New Roman"/>
                <w:sz w:val="24"/>
                <w:szCs w:val="24"/>
              </w:rPr>
            </w:pPr>
            <w:r w:rsidRPr="001C1841">
              <w:rPr>
                <w:rFonts w:ascii="Times New Roman" w:eastAsia="Times New Roman" w:hAnsi="Times New Roman" w:cs="Times New Roman"/>
                <w:sz w:val="24"/>
                <w:szCs w:val="24"/>
              </w:rPr>
              <w:t>- Investment in operating Capital</w:t>
            </w:r>
          </w:p>
        </w:tc>
        <w:tc>
          <w:tcPr>
            <w:tcW w:w="0" w:type="auto"/>
            <w:tcBorders>
              <w:top w:val="single" w:sz="6" w:space="0" w:color="CCCCCC"/>
              <w:left w:val="single" w:sz="6" w:space="0" w:color="CCCCCC"/>
              <w:bottom w:val="single" w:sz="6" w:space="0" w:color="CCCCCC"/>
              <w:right w:val="single" w:sz="6" w:space="0" w:color="CCCCCC"/>
            </w:tcBorders>
            <w:tcMar>
              <w:top w:w="48" w:type="dxa"/>
              <w:left w:w="48" w:type="dxa"/>
              <w:bottom w:w="48" w:type="dxa"/>
              <w:right w:w="48" w:type="dxa"/>
            </w:tcMar>
            <w:vAlign w:val="center"/>
            <w:hideMark/>
          </w:tcPr>
          <w:p w:rsidR="001C1841" w:rsidRPr="001C1841" w:rsidRDefault="001C1841" w:rsidP="001C1841">
            <w:pPr>
              <w:spacing w:before="240" w:after="240" w:line="240" w:lineRule="auto"/>
              <w:rPr>
                <w:rFonts w:ascii="Times New Roman" w:eastAsia="Times New Roman" w:hAnsi="Times New Roman" w:cs="Times New Roman"/>
                <w:sz w:val="24"/>
                <w:szCs w:val="24"/>
              </w:rPr>
            </w:pPr>
            <w:r w:rsidRPr="001C1841">
              <w:rPr>
                <w:rFonts w:ascii="Times New Roman" w:eastAsia="Times New Roman" w:hAnsi="Times New Roman" w:cs="Times New Roman"/>
                <w:sz w:val="24"/>
                <w:szCs w:val="24"/>
              </w:rPr>
              <w:t>Statement of Cash Flows: section 2, from Investment</w:t>
            </w:r>
          </w:p>
        </w:tc>
      </w:tr>
      <w:tr w:rsidR="001C1841" w:rsidRPr="001C1841" w:rsidTr="001C18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after="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 </w:t>
            </w:r>
            <w:r w:rsidRPr="001C1841">
              <w:rPr>
                <w:rFonts w:ascii="inherit" w:eastAsia="Times New Roman" w:hAnsi="inherit" w:cs="Helvetica"/>
                <w:b/>
                <w:bCs/>
                <w:color w:val="252525"/>
                <w:sz w:val="24"/>
                <w:szCs w:val="24"/>
                <w:bdr w:val="none" w:sz="0" w:space="0" w:color="auto" w:frame="1"/>
              </w:rPr>
              <w:t>Free Cash Flow</w:t>
            </w:r>
          </w:p>
        </w:tc>
        <w:tc>
          <w:tcPr>
            <w:tcW w:w="0" w:type="auto"/>
            <w:vAlign w:val="center"/>
            <w:hideMark/>
          </w:tcPr>
          <w:p w:rsidR="001C1841" w:rsidRPr="001C1841" w:rsidRDefault="001C1841" w:rsidP="001C1841">
            <w:pPr>
              <w:spacing w:after="0" w:line="240" w:lineRule="auto"/>
              <w:rPr>
                <w:rFonts w:ascii="Times New Roman" w:eastAsia="Times New Roman" w:hAnsi="Times New Roman" w:cs="Times New Roman"/>
                <w:sz w:val="20"/>
                <w:szCs w:val="20"/>
              </w:rPr>
            </w:pPr>
            <w:r w:rsidRPr="001C1841">
              <w:rPr>
                <w:rFonts w:ascii="Times New Roman" w:eastAsia="Times New Roman" w:hAnsi="Times New Roman" w:cs="Times New Roman"/>
                <w:sz w:val="24"/>
                <w:szCs w:val="24"/>
              </w:rPr>
              <w:br/>
            </w:r>
          </w:p>
        </w:tc>
      </w:tr>
    </w:tbl>
    <w:p w:rsidR="001C1841" w:rsidRDefault="001C1841"/>
    <w:p w:rsidR="001C1841" w:rsidRDefault="001C1841"/>
    <w:p w:rsidR="001C1841" w:rsidRDefault="001C1841"/>
    <w:p w:rsidR="001C1841" w:rsidRDefault="001C1841">
      <w:r>
        <w:t>Difference between net income and free cash flows</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699"/>
        <w:gridCol w:w="1665"/>
        <w:gridCol w:w="1779"/>
        <w:gridCol w:w="4201"/>
      </w:tblGrid>
      <w:tr w:rsidR="001C1841" w:rsidRPr="001C1841" w:rsidTr="001C1841">
        <w:tc>
          <w:tcPr>
            <w:tcW w:w="0" w:type="auto"/>
            <w:tcBorders>
              <w:top w:val="single" w:sz="6" w:space="0" w:color="CCCCCC"/>
              <w:left w:val="single" w:sz="6" w:space="0" w:color="CCCCCC"/>
              <w:bottom w:val="single" w:sz="6" w:space="0" w:color="CCCCCC"/>
              <w:right w:val="single" w:sz="6" w:space="0" w:color="CCCCCC"/>
            </w:tcBorders>
            <w:shd w:val="clear" w:color="auto" w:fill="EEEEEE"/>
            <w:tcMar>
              <w:top w:w="48" w:type="dxa"/>
              <w:left w:w="48" w:type="dxa"/>
              <w:bottom w:w="48" w:type="dxa"/>
              <w:right w:w="48" w:type="dxa"/>
            </w:tcMar>
            <w:vAlign w:val="center"/>
            <w:hideMark/>
          </w:tcPr>
          <w:p w:rsidR="001C1841" w:rsidRPr="001C1841" w:rsidRDefault="001C1841" w:rsidP="001C1841">
            <w:pPr>
              <w:spacing w:before="240" w:after="240" w:line="396" w:lineRule="atLeast"/>
              <w:jc w:val="center"/>
              <w:rPr>
                <w:rFonts w:ascii="Helvetica" w:eastAsia="Times New Roman" w:hAnsi="Helvetica" w:cs="Helvetica"/>
                <w:b/>
                <w:bCs/>
                <w:color w:val="252525"/>
                <w:sz w:val="24"/>
                <w:szCs w:val="24"/>
              </w:rPr>
            </w:pPr>
            <w:r w:rsidRPr="001C1841">
              <w:rPr>
                <w:rFonts w:ascii="Helvetica" w:eastAsia="Times New Roman" w:hAnsi="Helvetica" w:cs="Helvetica"/>
                <w:b/>
                <w:bCs/>
                <w:color w:val="252525"/>
                <w:sz w:val="24"/>
                <w:szCs w:val="24"/>
              </w:rPr>
              <w:t>Measurement Type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48" w:type="dxa"/>
              <w:left w:w="48" w:type="dxa"/>
              <w:bottom w:w="48" w:type="dxa"/>
              <w:right w:w="48" w:type="dxa"/>
            </w:tcMar>
            <w:vAlign w:val="center"/>
            <w:hideMark/>
          </w:tcPr>
          <w:p w:rsidR="001C1841" w:rsidRPr="001C1841" w:rsidRDefault="001C1841" w:rsidP="001C1841">
            <w:pPr>
              <w:spacing w:before="240" w:after="240" w:line="396" w:lineRule="atLeast"/>
              <w:jc w:val="center"/>
              <w:rPr>
                <w:rFonts w:ascii="Helvetica" w:eastAsia="Times New Roman" w:hAnsi="Helvetica" w:cs="Helvetica"/>
                <w:b/>
                <w:bCs/>
                <w:color w:val="252525"/>
                <w:sz w:val="24"/>
                <w:szCs w:val="24"/>
              </w:rPr>
            </w:pPr>
            <w:r w:rsidRPr="001C1841">
              <w:rPr>
                <w:rFonts w:ascii="Helvetica" w:eastAsia="Times New Roman" w:hAnsi="Helvetica" w:cs="Helvetica"/>
                <w:b/>
                <w:bCs/>
                <w:color w:val="252525"/>
                <w:sz w:val="24"/>
                <w:szCs w:val="24"/>
              </w:rPr>
              <w:t>Component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48" w:type="dxa"/>
              <w:left w:w="48" w:type="dxa"/>
              <w:bottom w:w="48" w:type="dxa"/>
              <w:right w:w="48" w:type="dxa"/>
            </w:tcMar>
            <w:vAlign w:val="center"/>
            <w:hideMark/>
          </w:tcPr>
          <w:p w:rsidR="001C1841" w:rsidRPr="001C1841" w:rsidRDefault="001C1841" w:rsidP="001C1841">
            <w:pPr>
              <w:spacing w:before="240" w:after="240" w:line="396" w:lineRule="atLeast"/>
              <w:jc w:val="center"/>
              <w:rPr>
                <w:rFonts w:ascii="Helvetica" w:eastAsia="Times New Roman" w:hAnsi="Helvetica" w:cs="Helvetica"/>
                <w:b/>
                <w:bCs/>
                <w:color w:val="252525"/>
                <w:sz w:val="24"/>
                <w:szCs w:val="24"/>
              </w:rPr>
            </w:pPr>
            <w:r w:rsidRPr="001C1841">
              <w:rPr>
                <w:rFonts w:ascii="Helvetica" w:eastAsia="Times New Roman" w:hAnsi="Helvetica" w:cs="Helvetica"/>
                <w:b/>
                <w:bCs/>
                <w:color w:val="252525"/>
                <w:sz w:val="24"/>
                <w:szCs w:val="24"/>
              </w:rPr>
              <w:t>Advantage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48" w:type="dxa"/>
              <w:left w:w="48" w:type="dxa"/>
              <w:bottom w:w="48" w:type="dxa"/>
              <w:right w:w="48" w:type="dxa"/>
            </w:tcMar>
            <w:vAlign w:val="center"/>
            <w:hideMark/>
          </w:tcPr>
          <w:p w:rsidR="001C1841" w:rsidRPr="001C1841" w:rsidRDefault="001C1841" w:rsidP="001C1841">
            <w:pPr>
              <w:spacing w:before="240" w:after="240" w:line="396" w:lineRule="atLeast"/>
              <w:jc w:val="center"/>
              <w:rPr>
                <w:rFonts w:ascii="Helvetica" w:eastAsia="Times New Roman" w:hAnsi="Helvetica" w:cs="Helvetica"/>
                <w:b/>
                <w:bCs/>
                <w:color w:val="252525"/>
                <w:sz w:val="24"/>
                <w:szCs w:val="24"/>
              </w:rPr>
            </w:pPr>
            <w:r w:rsidRPr="001C1841">
              <w:rPr>
                <w:rFonts w:ascii="Helvetica" w:eastAsia="Times New Roman" w:hAnsi="Helvetica" w:cs="Helvetica"/>
                <w:b/>
                <w:bCs/>
                <w:color w:val="252525"/>
                <w:sz w:val="24"/>
                <w:szCs w:val="24"/>
              </w:rPr>
              <w:t>Disadvantage</w:t>
            </w:r>
          </w:p>
        </w:tc>
      </w:tr>
      <w:tr w:rsidR="001C1841" w:rsidRPr="001C1841" w:rsidTr="001C18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before="240" w:after="24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Free Cash Flow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before="240" w:after="24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Prior period net investment spending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before="240" w:after="24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Spending is in current dollars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before="240" w:after="24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Capital investments are at the discretion of management, so spending may be sporadic.</w:t>
            </w:r>
          </w:p>
        </w:tc>
      </w:tr>
      <w:tr w:rsidR="001C1841" w:rsidRPr="001C1841" w:rsidTr="001C18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before="240" w:after="24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Net Income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before="240" w:after="24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Depreciation charge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before="240" w:after="24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Charges are smoothed, related to cumulative prior purchases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1C1841" w:rsidRPr="001C1841" w:rsidRDefault="001C1841" w:rsidP="001C1841">
            <w:pPr>
              <w:spacing w:before="240" w:after="240" w:line="396" w:lineRule="atLeast"/>
              <w:rPr>
                <w:rFonts w:ascii="Helvetica" w:eastAsia="Times New Roman" w:hAnsi="Helvetica" w:cs="Helvetica"/>
                <w:color w:val="252525"/>
                <w:sz w:val="24"/>
                <w:szCs w:val="24"/>
              </w:rPr>
            </w:pPr>
            <w:r w:rsidRPr="001C1841">
              <w:rPr>
                <w:rFonts w:ascii="Helvetica" w:eastAsia="Times New Roman" w:hAnsi="Helvetica" w:cs="Helvetica"/>
                <w:color w:val="252525"/>
                <w:sz w:val="24"/>
                <w:szCs w:val="24"/>
              </w:rPr>
              <w:t>Allowing for typical 2% inflation per year, equipment purchased 10 years ago for $100 would now cost about $122. With 10 year straight line depreciation the old machine would have an annual depreciation of $10, but the new, identical machine would have depreciation of $12.2, or 22% more.</w:t>
            </w:r>
          </w:p>
        </w:tc>
      </w:tr>
    </w:tbl>
    <w:p w:rsidR="001C1841" w:rsidRDefault="001C1841"/>
    <w:p w:rsidR="001C1841" w:rsidRDefault="001C1841"/>
    <w:p w:rsidR="001C1841" w:rsidRDefault="001C1841">
      <w:r>
        <w:t>Why is free cash flows used?</w:t>
      </w:r>
    </w:p>
    <w:p w:rsidR="001C1841" w:rsidRPr="001C1841" w:rsidRDefault="001C1841" w:rsidP="001C1841">
      <w:pPr>
        <w:numPr>
          <w:ilvl w:val="0"/>
          <w:numId w:val="1"/>
        </w:numPr>
        <w:shd w:val="clear" w:color="auto" w:fill="FFFFFF"/>
        <w:spacing w:after="0" w:line="396" w:lineRule="atLeast"/>
        <w:ind w:left="0"/>
        <w:textAlignment w:val="baseline"/>
        <w:rPr>
          <w:rFonts w:ascii="inherit" w:eastAsia="Times New Roman" w:hAnsi="inherit" w:cs="Helvetica"/>
          <w:color w:val="252525"/>
          <w:sz w:val="24"/>
          <w:szCs w:val="24"/>
        </w:rPr>
      </w:pPr>
      <w:r w:rsidRPr="001C1841">
        <w:rPr>
          <w:rFonts w:ascii="inherit" w:eastAsia="Times New Roman" w:hAnsi="inherit" w:cs="Helvetica"/>
          <w:color w:val="252525"/>
          <w:sz w:val="24"/>
          <w:szCs w:val="24"/>
        </w:rPr>
        <w:t>Free cash flow measures the ease with which businesses can grow and pay </w:t>
      </w:r>
      <w:hyperlink r:id="rId14" w:tooltip="Dividends" w:history="1">
        <w:r w:rsidRPr="001C1841">
          <w:rPr>
            <w:rFonts w:ascii="inherit" w:eastAsia="Times New Roman" w:hAnsi="inherit" w:cs="Helvetica"/>
            <w:color w:val="5A3696"/>
            <w:sz w:val="24"/>
            <w:szCs w:val="24"/>
            <w:bdr w:val="none" w:sz="0" w:space="0" w:color="auto" w:frame="1"/>
          </w:rPr>
          <w:t>dividends</w:t>
        </w:r>
      </w:hyperlink>
      <w:r w:rsidRPr="001C1841">
        <w:rPr>
          <w:rFonts w:ascii="inherit" w:eastAsia="Times New Roman" w:hAnsi="inherit" w:cs="Helvetica"/>
          <w:color w:val="252525"/>
          <w:sz w:val="24"/>
          <w:szCs w:val="24"/>
        </w:rPr>
        <w:t> to shareholders. Even profitable businesses may have negative cash flows. Their requirement for increased financing will result in increased financing cost reducing future income.</w:t>
      </w:r>
    </w:p>
    <w:p w:rsidR="001C1841" w:rsidRPr="001C1841" w:rsidRDefault="001C1841" w:rsidP="001C1841">
      <w:pPr>
        <w:numPr>
          <w:ilvl w:val="0"/>
          <w:numId w:val="1"/>
        </w:numPr>
        <w:shd w:val="clear" w:color="auto" w:fill="FFFFFF"/>
        <w:spacing w:after="0" w:line="396" w:lineRule="atLeast"/>
        <w:ind w:left="0"/>
        <w:textAlignment w:val="baseline"/>
        <w:rPr>
          <w:rFonts w:ascii="inherit" w:eastAsia="Times New Roman" w:hAnsi="inherit" w:cs="Helvetica"/>
          <w:color w:val="252525"/>
          <w:sz w:val="24"/>
          <w:szCs w:val="24"/>
        </w:rPr>
      </w:pPr>
      <w:r w:rsidRPr="001C1841">
        <w:rPr>
          <w:rFonts w:ascii="inherit" w:eastAsia="Times New Roman" w:hAnsi="inherit" w:cs="Helvetica"/>
          <w:color w:val="252525"/>
          <w:sz w:val="24"/>
          <w:szCs w:val="24"/>
        </w:rPr>
        <w:t>According to the </w:t>
      </w:r>
      <w:hyperlink r:id="rId15" w:tooltip="Discounted cash flow" w:history="1">
        <w:r w:rsidRPr="001C1841">
          <w:rPr>
            <w:rFonts w:ascii="inherit" w:eastAsia="Times New Roman" w:hAnsi="inherit" w:cs="Helvetica"/>
            <w:color w:val="5A3696"/>
            <w:sz w:val="24"/>
            <w:szCs w:val="24"/>
            <w:bdr w:val="none" w:sz="0" w:space="0" w:color="auto" w:frame="1"/>
          </w:rPr>
          <w:t>discounted cash flow</w:t>
        </w:r>
      </w:hyperlink>
      <w:r w:rsidRPr="001C1841">
        <w:rPr>
          <w:rFonts w:ascii="inherit" w:eastAsia="Times New Roman" w:hAnsi="inherit" w:cs="Helvetica"/>
          <w:color w:val="252525"/>
          <w:sz w:val="24"/>
          <w:szCs w:val="24"/>
        </w:rPr>
        <w:t> valuation model, the </w:t>
      </w:r>
      <w:hyperlink r:id="rId16" w:tooltip="Intrinsic value (finance)" w:history="1">
        <w:r w:rsidRPr="001C1841">
          <w:rPr>
            <w:rFonts w:ascii="inherit" w:eastAsia="Times New Roman" w:hAnsi="inherit" w:cs="Helvetica"/>
            <w:color w:val="5A3696"/>
            <w:sz w:val="24"/>
            <w:szCs w:val="24"/>
            <w:bdr w:val="none" w:sz="0" w:space="0" w:color="auto" w:frame="1"/>
          </w:rPr>
          <w:t>intrinsic value</w:t>
        </w:r>
      </w:hyperlink>
      <w:r w:rsidRPr="001C1841">
        <w:rPr>
          <w:rFonts w:ascii="inherit" w:eastAsia="Times New Roman" w:hAnsi="inherit" w:cs="Helvetica"/>
          <w:color w:val="252525"/>
          <w:sz w:val="24"/>
          <w:szCs w:val="24"/>
        </w:rPr>
        <w:t> of a company is the </w:t>
      </w:r>
      <w:hyperlink r:id="rId17" w:tooltip="Present value" w:history="1">
        <w:r w:rsidRPr="001C1841">
          <w:rPr>
            <w:rFonts w:ascii="inherit" w:eastAsia="Times New Roman" w:hAnsi="inherit" w:cs="Helvetica"/>
            <w:color w:val="5A3696"/>
            <w:sz w:val="24"/>
            <w:szCs w:val="24"/>
            <w:bdr w:val="none" w:sz="0" w:space="0" w:color="auto" w:frame="1"/>
          </w:rPr>
          <w:t>present value</w:t>
        </w:r>
      </w:hyperlink>
      <w:r w:rsidRPr="001C1841">
        <w:rPr>
          <w:rFonts w:ascii="inherit" w:eastAsia="Times New Roman" w:hAnsi="inherit" w:cs="Helvetica"/>
          <w:color w:val="252525"/>
          <w:sz w:val="24"/>
          <w:szCs w:val="24"/>
        </w:rPr>
        <w:t> of all future free cash flows, plus the cash proceeds from its eventual sale. The presumption is that the </w:t>
      </w:r>
      <w:hyperlink r:id="rId18" w:tooltip="Cash flow" w:history="1">
        <w:r w:rsidRPr="001C1841">
          <w:rPr>
            <w:rFonts w:ascii="inherit" w:eastAsia="Times New Roman" w:hAnsi="inherit" w:cs="Helvetica"/>
            <w:color w:val="5A3696"/>
            <w:sz w:val="24"/>
            <w:szCs w:val="24"/>
            <w:bdr w:val="none" w:sz="0" w:space="0" w:color="auto" w:frame="1"/>
          </w:rPr>
          <w:t>cash flows</w:t>
        </w:r>
      </w:hyperlink>
      <w:r w:rsidRPr="001C1841">
        <w:rPr>
          <w:rFonts w:ascii="inherit" w:eastAsia="Times New Roman" w:hAnsi="inherit" w:cs="Helvetica"/>
          <w:color w:val="252525"/>
          <w:sz w:val="24"/>
          <w:szCs w:val="24"/>
        </w:rPr>
        <w:t> are used to pay dividends to the shareholders. Bear in mind the lumpiness discussed below.</w:t>
      </w:r>
    </w:p>
    <w:p w:rsidR="001C1841" w:rsidRPr="001C1841" w:rsidRDefault="001C1841" w:rsidP="001C1841">
      <w:pPr>
        <w:numPr>
          <w:ilvl w:val="0"/>
          <w:numId w:val="1"/>
        </w:numPr>
        <w:shd w:val="clear" w:color="auto" w:fill="FFFFFF"/>
        <w:spacing w:after="0" w:line="396" w:lineRule="atLeast"/>
        <w:ind w:left="0"/>
        <w:textAlignment w:val="baseline"/>
        <w:rPr>
          <w:rFonts w:ascii="inherit" w:eastAsia="Times New Roman" w:hAnsi="inherit" w:cs="Helvetica"/>
          <w:color w:val="252525"/>
          <w:sz w:val="24"/>
          <w:szCs w:val="24"/>
        </w:rPr>
      </w:pPr>
      <w:r w:rsidRPr="001C1841">
        <w:rPr>
          <w:rFonts w:ascii="inherit" w:eastAsia="Times New Roman" w:hAnsi="inherit" w:cs="Helvetica"/>
          <w:color w:val="252525"/>
          <w:sz w:val="24"/>
          <w:szCs w:val="24"/>
        </w:rPr>
        <w:t>Some investors prefer using free cash flow instead of </w:t>
      </w:r>
      <w:hyperlink r:id="rId19" w:tooltip="Net income" w:history="1">
        <w:r w:rsidRPr="001C1841">
          <w:rPr>
            <w:rFonts w:ascii="inherit" w:eastAsia="Times New Roman" w:hAnsi="inherit" w:cs="Helvetica"/>
            <w:color w:val="5A3696"/>
            <w:sz w:val="24"/>
            <w:szCs w:val="24"/>
            <w:bdr w:val="none" w:sz="0" w:space="0" w:color="auto" w:frame="1"/>
          </w:rPr>
          <w:t>net income</w:t>
        </w:r>
      </w:hyperlink>
      <w:r w:rsidRPr="001C1841">
        <w:rPr>
          <w:rFonts w:ascii="inherit" w:eastAsia="Times New Roman" w:hAnsi="inherit" w:cs="Helvetica"/>
          <w:color w:val="252525"/>
          <w:sz w:val="24"/>
          <w:szCs w:val="24"/>
        </w:rPr>
        <w:t> to measure a company's financial performance, because free cash flow is more difficult to manipulate than </w:t>
      </w:r>
      <w:hyperlink r:id="rId20" w:tooltip="Net income" w:history="1">
        <w:r w:rsidRPr="001C1841">
          <w:rPr>
            <w:rFonts w:ascii="inherit" w:eastAsia="Times New Roman" w:hAnsi="inherit" w:cs="Helvetica"/>
            <w:color w:val="5A3696"/>
            <w:sz w:val="24"/>
            <w:szCs w:val="24"/>
            <w:bdr w:val="none" w:sz="0" w:space="0" w:color="auto" w:frame="1"/>
          </w:rPr>
          <w:t>net income</w:t>
        </w:r>
      </w:hyperlink>
      <w:r w:rsidRPr="001C1841">
        <w:rPr>
          <w:rFonts w:ascii="inherit" w:eastAsia="Times New Roman" w:hAnsi="inherit" w:cs="Helvetica"/>
          <w:color w:val="252525"/>
          <w:sz w:val="24"/>
          <w:szCs w:val="24"/>
        </w:rPr>
        <w:t>. The problems with this presumption are itemized at </w:t>
      </w:r>
      <w:hyperlink r:id="rId21" w:tooltip="Cash flow" w:history="1">
        <w:r w:rsidRPr="001C1841">
          <w:rPr>
            <w:rFonts w:ascii="inherit" w:eastAsia="Times New Roman" w:hAnsi="inherit" w:cs="Helvetica"/>
            <w:color w:val="5A3696"/>
            <w:sz w:val="24"/>
            <w:szCs w:val="24"/>
            <w:bdr w:val="none" w:sz="0" w:space="0" w:color="auto" w:frame="1"/>
          </w:rPr>
          <w:t>cash flow</w:t>
        </w:r>
      </w:hyperlink>
      <w:r w:rsidRPr="001C1841">
        <w:rPr>
          <w:rFonts w:ascii="inherit" w:eastAsia="Times New Roman" w:hAnsi="inherit" w:cs="Helvetica"/>
          <w:color w:val="252525"/>
          <w:sz w:val="24"/>
          <w:szCs w:val="24"/>
        </w:rPr>
        <w:t> and </w:t>
      </w:r>
      <w:hyperlink r:id="rId22" w:tooltip="Return of capital" w:history="1">
        <w:r w:rsidRPr="001C1841">
          <w:rPr>
            <w:rFonts w:ascii="inherit" w:eastAsia="Times New Roman" w:hAnsi="inherit" w:cs="Helvetica"/>
            <w:color w:val="5A3696"/>
            <w:sz w:val="24"/>
            <w:szCs w:val="24"/>
            <w:bdr w:val="none" w:sz="0" w:space="0" w:color="auto" w:frame="1"/>
          </w:rPr>
          <w:t>return of capital</w:t>
        </w:r>
      </w:hyperlink>
      <w:r w:rsidRPr="001C1841">
        <w:rPr>
          <w:rFonts w:ascii="inherit" w:eastAsia="Times New Roman" w:hAnsi="inherit" w:cs="Helvetica"/>
          <w:color w:val="252525"/>
          <w:sz w:val="24"/>
          <w:szCs w:val="24"/>
        </w:rPr>
        <w:t>.</w:t>
      </w:r>
    </w:p>
    <w:p w:rsidR="001C1841" w:rsidRPr="001C1841" w:rsidRDefault="001C1841" w:rsidP="001C1841">
      <w:pPr>
        <w:numPr>
          <w:ilvl w:val="0"/>
          <w:numId w:val="1"/>
        </w:numPr>
        <w:shd w:val="clear" w:color="auto" w:fill="FFFFFF"/>
        <w:spacing w:beforeAutospacing="1" w:after="0" w:afterAutospacing="1" w:line="396" w:lineRule="atLeast"/>
        <w:ind w:left="0"/>
        <w:textAlignment w:val="baseline"/>
        <w:rPr>
          <w:rFonts w:ascii="inherit" w:eastAsia="Times New Roman" w:hAnsi="inherit" w:cs="Helvetica"/>
          <w:color w:val="252525"/>
          <w:sz w:val="24"/>
          <w:szCs w:val="24"/>
        </w:rPr>
      </w:pPr>
      <w:r w:rsidRPr="001C1841">
        <w:rPr>
          <w:rFonts w:ascii="inherit" w:eastAsia="Times New Roman" w:hAnsi="inherit" w:cs="Helvetica"/>
          <w:color w:val="252525"/>
          <w:sz w:val="24"/>
          <w:szCs w:val="24"/>
        </w:rPr>
        <w:t>The payout ratio is a metric used to evaluate the sustainability of distributions from REITs, Oil and Gas Royalty Trusts, and Income Trust. The distributions are divided by the free cash flow. Distributions may include any of income, flowed-through capital gains or </w:t>
      </w:r>
      <w:hyperlink r:id="rId23" w:tooltip="Return of capital" w:history="1">
        <w:r w:rsidRPr="001C1841">
          <w:rPr>
            <w:rFonts w:ascii="inherit" w:eastAsia="Times New Roman" w:hAnsi="inherit" w:cs="Helvetica"/>
            <w:color w:val="5A3696"/>
            <w:sz w:val="24"/>
            <w:szCs w:val="24"/>
            <w:bdr w:val="none" w:sz="0" w:space="0" w:color="auto" w:frame="1"/>
          </w:rPr>
          <w:t>return of capital</w:t>
        </w:r>
      </w:hyperlink>
      <w:r w:rsidRPr="001C1841">
        <w:rPr>
          <w:rFonts w:ascii="inherit" w:eastAsia="Times New Roman" w:hAnsi="inherit" w:cs="Helvetica"/>
          <w:color w:val="252525"/>
          <w:sz w:val="24"/>
          <w:szCs w:val="24"/>
        </w:rPr>
        <w:t>.</w:t>
      </w:r>
    </w:p>
    <w:p w:rsidR="001C1841" w:rsidRDefault="001C1841">
      <w:pPr>
        <w:rPr>
          <w:rFonts w:ascii="Helvetica" w:hAnsi="Helvetica" w:cs="Helvetica"/>
          <w:color w:val="252525"/>
          <w:shd w:val="clear" w:color="auto" w:fill="FFFFFF"/>
        </w:rPr>
      </w:pPr>
      <w:r>
        <w:rPr>
          <w:rFonts w:ascii="Helvetica" w:hAnsi="Helvetica" w:cs="Helvetica"/>
          <w:color w:val="252525"/>
          <w:shd w:val="clear" w:color="auto" w:fill="FFFFFF"/>
        </w:rPr>
        <w:t xml:space="preserve">Information courtesy </w:t>
      </w:r>
      <w:proofErr w:type="spellStart"/>
      <w:r>
        <w:rPr>
          <w:rFonts w:ascii="Helvetica" w:hAnsi="Helvetica" w:cs="Helvetica"/>
          <w:color w:val="252525"/>
          <w:shd w:val="clear" w:color="auto" w:fill="FFFFFF"/>
        </w:rPr>
        <w:t>of:</w:t>
      </w:r>
    </w:p>
    <w:p w:rsidR="001C1841" w:rsidRDefault="001C1841" w:rsidP="001C1841">
      <w:pPr>
        <w:rPr>
          <w:rFonts w:ascii="Helvetica" w:hAnsi="Helvetica" w:cs="Helvetica"/>
          <w:color w:val="252525"/>
          <w:shd w:val="clear" w:color="auto" w:fill="FFFFFF"/>
        </w:rPr>
      </w:pPr>
      <w:r>
        <w:rPr>
          <w:rFonts w:ascii="Helvetica" w:hAnsi="Helvetica" w:cs="Helvetica"/>
          <w:color w:val="252525"/>
          <w:shd w:val="clear" w:color="auto" w:fill="FFFFFF"/>
        </w:rPr>
        <w:t>Brealey</w:t>
      </w:r>
      <w:proofErr w:type="spellEnd"/>
      <w:r>
        <w:rPr>
          <w:rFonts w:ascii="Helvetica" w:hAnsi="Helvetica" w:cs="Helvetica"/>
          <w:color w:val="252525"/>
          <w:shd w:val="clear" w:color="auto" w:fill="FFFFFF"/>
        </w:rPr>
        <w:t>, Richard A.; Myers, Stewart C.; Allen, Franklin (2005).</w:t>
      </w:r>
      <w:r>
        <w:rPr>
          <w:rStyle w:val="apple-converted-space"/>
          <w:rFonts w:ascii="Helvetica" w:hAnsi="Helvetica" w:cs="Helvetica"/>
          <w:color w:val="252525"/>
          <w:shd w:val="clear" w:color="auto" w:fill="FFFFFF"/>
        </w:rPr>
        <w:t> </w:t>
      </w:r>
      <w:hyperlink r:id="rId24" w:tooltip="Principles of Corporate Finance" w:history="1">
        <w:r>
          <w:rPr>
            <w:rStyle w:val="Hyperlink"/>
            <w:rFonts w:ascii="inherit" w:hAnsi="inherit" w:cs="Helvetica"/>
            <w:i/>
            <w:iCs/>
            <w:color w:val="5A3696"/>
            <w:bdr w:val="none" w:sz="0" w:space="0" w:color="auto" w:frame="1"/>
            <w:shd w:val="clear" w:color="auto" w:fill="FFFFFF"/>
          </w:rPr>
          <w:t>Principles of Corporate Finance</w:t>
        </w:r>
      </w:hyperlink>
      <w:r>
        <w:rPr>
          <w:rStyle w:val="apple-converted-space"/>
          <w:rFonts w:ascii="Helvetica" w:hAnsi="Helvetica" w:cs="Helvetica"/>
          <w:color w:val="252525"/>
          <w:shd w:val="clear" w:color="auto" w:fill="FFFFFF"/>
        </w:rPr>
        <w:t> </w:t>
      </w:r>
      <w:r>
        <w:rPr>
          <w:rFonts w:ascii="Helvetica" w:hAnsi="Helvetica" w:cs="Helvetica"/>
          <w:color w:val="252525"/>
          <w:shd w:val="clear" w:color="auto" w:fill="FFFFFF"/>
        </w:rPr>
        <w:t xml:space="preserve">(8th </w:t>
      </w:r>
      <w:proofErr w:type="gramStart"/>
      <w:r>
        <w:rPr>
          <w:rFonts w:ascii="Helvetica" w:hAnsi="Helvetica" w:cs="Helvetica"/>
          <w:color w:val="252525"/>
          <w:shd w:val="clear" w:color="auto" w:fill="FFFFFF"/>
        </w:rPr>
        <w:t>ed</w:t>
      </w:r>
      <w:proofErr w:type="gramEnd"/>
      <w:r>
        <w:rPr>
          <w:rFonts w:ascii="Helvetica" w:hAnsi="Helvetica" w:cs="Helvetica"/>
          <w:color w:val="252525"/>
          <w:shd w:val="clear" w:color="auto" w:fill="FFFFFF"/>
        </w:rPr>
        <w:t>.). Boston: McGraw-Hill/Irwin</w:t>
      </w:r>
    </w:p>
    <w:p w:rsidR="001C1841" w:rsidRPr="001C1841" w:rsidRDefault="001C1841" w:rsidP="001C1841">
      <w:pPr>
        <w:rPr>
          <w:rFonts w:ascii="Helvetica" w:hAnsi="Helvetica" w:cs="Helvetica"/>
          <w:color w:val="252525"/>
          <w:shd w:val="clear" w:color="auto" w:fill="FFFFFF"/>
        </w:rPr>
      </w:pPr>
      <w:r w:rsidRPr="001C1841">
        <w:rPr>
          <w:rFonts w:ascii="Arial" w:eastAsia="Times New Roman" w:hAnsi="Arial" w:cs="Arial"/>
          <w:color w:val="252525"/>
          <w:sz w:val="21"/>
          <w:szCs w:val="21"/>
        </w:rPr>
        <w:t>Free Cash Flows. (</w:t>
      </w:r>
      <w:proofErr w:type="spellStart"/>
      <w:r w:rsidRPr="001C1841">
        <w:rPr>
          <w:rFonts w:ascii="Arial" w:eastAsia="Times New Roman" w:hAnsi="Arial" w:cs="Arial"/>
          <w:color w:val="252525"/>
          <w:sz w:val="21"/>
          <w:szCs w:val="21"/>
        </w:rPr>
        <w:t>n.d.</w:t>
      </w:r>
      <w:proofErr w:type="spellEnd"/>
      <w:r w:rsidRPr="001C1841">
        <w:rPr>
          <w:rFonts w:ascii="Arial" w:eastAsia="Times New Roman" w:hAnsi="Arial" w:cs="Arial"/>
          <w:color w:val="252525"/>
          <w:sz w:val="21"/>
          <w:szCs w:val="21"/>
        </w:rPr>
        <w:t>). In </w:t>
      </w:r>
      <w:r w:rsidRPr="001C1841">
        <w:rPr>
          <w:rFonts w:ascii="Arial" w:eastAsia="Times New Roman" w:hAnsi="Arial" w:cs="Arial"/>
          <w:i/>
          <w:iCs/>
          <w:color w:val="252525"/>
          <w:sz w:val="21"/>
          <w:szCs w:val="21"/>
        </w:rPr>
        <w:t>Wikipedia</w:t>
      </w:r>
      <w:r w:rsidRPr="001C1841">
        <w:rPr>
          <w:rFonts w:ascii="Arial" w:eastAsia="Times New Roman" w:hAnsi="Arial" w:cs="Arial"/>
          <w:color w:val="252525"/>
          <w:sz w:val="21"/>
          <w:szCs w:val="21"/>
        </w:rPr>
        <w:t>. Retrieved September 12, 2016, from https://en.m.wikipedia.org/wiki/Free_cash_flow</w:t>
      </w:r>
    </w:p>
    <w:sectPr w:rsidR="001C1841" w:rsidRPr="001C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5F9E"/>
    <w:multiLevelType w:val="multilevel"/>
    <w:tmpl w:val="066E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0C229B"/>
    <w:multiLevelType w:val="multilevel"/>
    <w:tmpl w:val="BD34E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41"/>
    <w:rsid w:val="001C1841"/>
    <w:rsid w:val="0048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03E19-7799-4F65-A4B6-2347D28D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841"/>
    <w:rPr>
      <w:color w:val="0000FF"/>
      <w:u w:val="single"/>
    </w:rPr>
  </w:style>
  <w:style w:type="character" w:customStyle="1" w:styleId="apple-converted-space">
    <w:name w:val="apple-converted-space"/>
    <w:basedOn w:val="DefaultParagraphFont"/>
    <w:rsid w:val="001C1841"/>
  </w:style>
  <w:style w:type="paragraph" w:styleId="NormalWeb">
    <w:name w:val="Normal (Web)"/>
    <w:basedOn w:val="Normal"/>
    <w:uiPriority w:val="99"/>
    <w:semiHidden/>
    <w:unhideWhenUsed/>
    <w:rsid w:val="001C18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35949">
      <w:bodyDiv w:val="1"/>
      <w:marLeft w:val="0"/>
      <w:marRight w:val="0"/>
      <w:marTop w:val="0"/>
      <w:marBottom w:val="0"/>
      <w:divBdr>
        <w:top w:val="none" w:sz="0" w:space="0" w:color="auto"/>
        <w:left w:val="none" w:sz="0" w:space="0" w:color="auto"/>
        <w:bottom w:val="none" w:sz="0" w:space="0" w:color="auto"/>
        <w:right w:val="none" w:sz="0" w:space="0" w:color="auto"/>
      </w:divBdr>
    </w:div>
    <w:div w:id="598417356">
      <w:bodyDiv w:val="1"/>
      <w:marLeft w:val="0"/>
      <w:marRight w:val="0"/>
      <w:marTop w:val="0"/>
      <w:marBottom w:val="0"/>
      <w:divBdr>
        <w:top w:val="none" w:sz="0" w:space="0" w:color="auto"/>
        <w:left w:val="none" w:sz="0" w:space="0" w:color="auto"/>
        <w:bottom w:val="none" w:sz="0" w:space="0" w:color="auto"/>
        <w:right w:val="none" w:sz="0" w:space="0" w:color="auto"/>
      </w:divBdr>
    </w:div>
    <w:div w:id="599290700">
      <w:bodyDiv w:val="1"/>
      <w:marLeft w:val="0"/>
      <w:marRight w:val="0"/>
      <w:marTop w:val="0"/>
      <w:marBottom w:val="0"/>
      <w:divBdr>
        <w:top w:val="none" w:sz="0" w:space="0" w:color="auto"/>
        <w:left w:val="none" w:sz="0" w:space="0" w:color="auto"/>
        <w:bottom w:val="none" w:sz="0" w:space="0" w:color="auto"/>
        <w:right w:val="none" w:sz="0" w:space="0" w:color="auto"/>
      </w:divBdr>
    </w:div>
    <w:div w:id="956453020">
      <w:bodyDiv w:val="1"/>
      <w:marLeft w:val="0"/>
      <w:marRight w:val="0"/>
      <w:marTop w:val="0"/>
      <w:marBottom w:val="0"/>
      <w:divBdr>
        <w:top w:val="none" w:sz="0" w:space="0" w:color="auto"/>
        <w:left w:val="none" w:sz="0" w:space="0" w:color="auto"/>
        <w:bottom w:val="none" w:sz="0" w:space="0" w:color="auto"/>
        <w:right w:val="none" w:sz="0" w:space="0" w:color="auto"/>
      </w:divBdr>
    </w:div>
    <w:div w:id="1147473571">
      <w:bodyDiv w:val="1"/>
      <w:marLeft w:val="0"/>
      <w:marRight w:val="0"/>
      <w:marTop w:val="0"/>
      <w:marBottom w:val="0"/>
      <w:divBdr>
        <w:top w:val="none" w:sz="0" w:space="0" w:color="auto"/>
        <w:left w:val="none" w:sz="0" w:space="0" w:color="auto"/>
        <w:bottom w:val="none" w:sz="0" w:space="0" w:color="auto"/>
        <w:right w:val="none" w:sz="0" w:space="0" w:color="auto"/>
      </w:divBdr>
    </w:div>
    <w:div w:id="12603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Amortization_(business)" TargetMode="External"/><Relationship Id="rId13" Type="http://schemas.openxmlformats.org/officeDocument/2006/relationships/hyperlink" Target="https://en.m.wikipedia.org/wiki/Tax_shield" TargetMode="External"/><Relationship Id="rId18" Type="http://schemas.openxmlformats.org/officeDocument/2006/relationships/hyperlink" Target="https://en.m.wikipedia.org/wiki/Cash_flo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m.wikipedia.org/wiki/Cash_flow" TargetMode="External"/><Relationship Id="rId7" Type="http://schemas.openxmlformats.org/officeDocument/2006/relationships/hyperlink" Target="https://en.m.wikipedia.org/wiki/Depreciation" TargetMode="External"/><Relationship Id="rId12" Type="http://schemas.openxmlformats.org/officeDocument/2006/relationships/hyperlink" Target="https://en.m.wikipedia.org/wiki/Working_Capital" TargetMode="External"/><Relationship Id="rId17" Type="http://schemas.openxmlformats.org/officeDocument/2006/relationships/hyperlink" Target="https://en.m.wikipedia.org/wiki/Present_valu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m.wikipedia.org/wiki/Intrinsic_value_(finance)" TargetMode="External"/><Relationship Id="rId20" Type="http://schemas.openxmlformats.org/officeDocument/2006/relationships/hyperlink" Target="https://en.m.wikipedia.org/wiki/Net_income" TargetMode="External"/><Relationship Id="rId1" Type="http://schemas.openxmlformats.org/officeDocument/2006/relationships/numbering" Target="numbering.xml"/><Relationship Id="rId6" Type="http://schemas.openxmlformats.org/officeDocument/2006/relationships/hyperlink" Target="https://en.m.wikipedia.org/wiki/Tax_rate" TargetMode="External"/><Relationship Id="rId11" Type="http://schemas.openxmlformats.org/officeDocument/2006/relationships/hyperlink" Target="https://en.m.wikipedia.org/wiki/Interest_expense" TargetMode="External"/><Relationship Id="rId24" Type="http://schemas.openxmlformats.org/officeDocument/2006/relationships/hyperlink" Target="https://en.m.wikipedia.org/wiki/Principles_of_Corporate_Finance" TargetMode="External"/><Relationship Id="rId5" Type="http://schemas.openxmlformats.org/officeDocument/2006/relationships/hyperlink" Target="https://en.m.wikipedia.org/wiki/Earnings_before_interest_and_taxes" TargetMode="External"/><Relationship Id="rId15" Type="http://schemas.openxmlformats.org/officeDocument/2006/relationships/hyperlink" Target="https://en.m.wikipedia.org/wiki/Discounted_cash_flow" TargetMode="External"/><Relationship Id="rId23" Type="http://schemas.openxmlformats.org/officeDocument/2006/relationships/hyperlink" Target="https://en.m.wikipedia.org/wiki/Return_of_capital" TargetMode="External"/><Relationship Id="rId10" Type="http://schemas.openxmlformats.org/officeDocument/2006/relationships/hyperlink" Target="https://en.m.wikipedia.org/wiki/Capital_expenditure" TargetMode="External"/><Relationship Id="rId19" Type="http://schemas.openxmlformats.org/officeDocument/2006/relationships/hyperlink" Target="https://en.m.wikipedia.org/wiki/Net_income" TargetMode="External"/><Relationship Id="rId4" Type="http://schemas.openxmlformats.org/officeDocument/2006/relationships/webSettings" Target="webSettings.xml"/><Relationship Id="rId9" Type="http://schemas.openxmlformats.org/officeDocument/2006/relationships/hyperlink" Target="https://en.m.wikipedia.org/wiki/Working_Capital" TargetMode="External"/><Relationship Id="rId14" Type="http://schemas.openxmlformats.org/officeDocument/2006/relationships/hyperlink" Target="https://en.m.wikipedia.org/wiki/Dividends" TargetMode="External"/><Relationship Id="rId22" Type="http://schemas.openxmlformats.org/officeDocument/2006/relationships/hyperlink" Target="https://en.m.wikipedia.org/wiki/Return_of_cap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Lafont, Matthew</dc:creator>
  <cp:keywords/>
  <dc:description/>
  <cp:lastModifiedBy>Lafont, Matthew</cp:lastModifiedBy>
  <cp:revision>1</cp:revision>
  <dcterms:created xsi:type="dcterms:W3CDTF">2016-09-12T13:45:00Z</dcterms:created>
  <dcterms:modified xsi:type="dcterms:W3CDTF">2016-09-12T13:53:00Z</dcterms:modified>
</cp:coreProperties>
</file>